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11A6AE" w14:textId="77777777" w:rsidR="007E4BD6" w:rsidRDefault="00000000">
      <w:pPr>
        <w:pStyle w:val="Heading1"/>
        <w:spacing w:before="0" w:after="120" w:line="275" w:lineRule="auto"/>
        <w:rPr>
          <w:rFonts w:ascii="Google Sans" w:eastAsia="Google Sans" w:hAnsi="Google Sans" w:cs="Google Sans"/>
          <w:color w:val="1B1C1D"/>
          <w:sz w:val="32"/>
          <w:szCs w:val="32"/>
        </w:rPr>
      </w:pPr>
      <w:r>
        <w:rPr>
          <w:rFonts w:ascii="Google Sans" w:eastAsia="Google Sans" w:hAnsi="Google Sans" w:cs="Google Sans"/>
          <w:color w:val="1B1C1D"/>
          <w:sz w:val="32"/>
          <w:szCs w:val="32"/>
        </w:rPr>
        <w:t>The Transformative and Ethical Landscape of AI and Big Data in Personalized Medicine and Preventative Healthcare</w:t>
      </w:r>
    </w:p>
    <w:p w14:paraId="163436A2" w14:textId="77777777" w:rsidR="007E4BD6"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1. Executive Summary</w:t>
      </w:r>
    </w:p>
    <w:p w14:paraId="6C209B06" w14:textId="77777777" w:rsidR="007E4BD6"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The confluence of Artificial Intelligence (AI) and Big Data is catalyzing a paradigm shift in healthcare, particularly in the realms of personalized medicine and preventative strategies. This report provides an expert-level analysis of this transformation, examining the efficacy of these technologies in enhancing diagnostic accuracy, tailoring therapeutic interventions—including through genomics, lifestyle analytics, and advanced modalities like RNA therapeutics and gene editing—and predicting disease risk. AI algorithms, fueled by large-scale health datasets, demonstrate considerable potential in improving patient outcomes.</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However, this progress is accompanied by significant ethical considerations, including algorithmic bias, threats to patient autonomy, and the evolving nature of the patient-doctor relationship. Furthermore, the aggregation and utilization of sensitive patient data raise profound privacy concerns, necessitating robust security measures and transparent data handling practices.</w:t>
      </w:r>
      <w:r>
        <w:rPr>
          <w:rFonts w:ascii="Google Sans Text" w:eastAsia="Google Sans Text" w:hAnsi="Google Sans Text" w:cs="Google Sans Text"/>
          <w:color w:val="575B5F"/>
          <w:sz w:val="24"/>
          <w:szCs w:val="24"/>
          <w:vertAlign w:val="superscript"/>
        </w:rPr>
        <w:t>3</w:t>
      </w:r>
    </w:p>
    <w:p w14:paraId="39E81B88" w14:textId="77777777" w:rsidR="007E4BD6"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findings herein underscore a dual narrative: the immense, revolutionary potential of AI and Big Data is inextricably linked with a profound responsibility to navigate its complexities ethically and securely. While AI-driven tools achieve high accuracy in medical imaging and show promise in customizing treatments at a molecular level, their translation into widespread, trusted clinical practice is contingent upon addressing challenges related to transparency, human oversight, and equitable access. The critical need for comprehensive data governance and adaptive ethical frameworks is paramount. Existing and emerging regulatory landscapes, such as the EU AI Act and the European Health Data Space (EHDS), alongside guidance from international bodies like the WHO and professional organizations such as the AMA, are shaping the path forward. Ultimately, charting a responsible future requires a multi-stakeholder, collaborative approach to ensure that these powerful technologies are harnessed to benefit all individuals equitably and ethically, reinforcing the core tenets of patient-centered care.</w:t>
      </w:r>
    </w:p>
    <w:p w14:paraId="18750F0B" w14:textId="77777777" w:rsidR="007E4BD6"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2. Introduction: The Confluence of AI, Big Data, and Healthcare Transformation</w:t>
      </w:r>
    </w:p>
    <w:p w14:paraId="5DCEDC48" w14:textId="77777777" w:rsidR="007E4BD6"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The healthcare sector is undergoing an unprecedented transformation, driven by the </w:t>
      </w:r>
      <w:r>
        <w:rPr>
          <w:rFonts w:ascii="Google Sans Text" w:eastAsia="Google Sans Text" w:hAnsi="Google Sans Text" w:cs="Google Sans Text"/>
          <w:color w:val="1B1C1D"/>
          <w:sz w:val="24"/>
          <w:szCs w:val="24"/>
        </w:rPr>
        <w:lastRenderedPageBreak/>
        <w:t>synergistic capabilities of Artificial Intelligence (AI) and Big Data. These technologies are not merely enhancing existing practices but are fundamentally reshaping how diseases are prevented, diagnosed, and treated. At the forefront of this revolution are personalized medicine and preventative healthcare, two domains poised for significant advancement through the sophisticated analytical power of AI applied to vast and complex health datasets. This section defines these core concepts within the contemporary digital age and elucidates the fundamental roles and capabilities of AI and Big Data in driving this healthcare metamorphosis.</w:t>
      </w:r>
    </w:p>
    <w:p w14:paraId="63E59457" w14:textId="77777777" w:rsidR="007E4BD6"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2.1 Defining Personalized Medicine and Preventative Healthcare in the Digital Age</w:t>
      </w:r>
    </w:p>
    <w:p w14:paraId="7978B3CE" w14:textId="77777777" w:rsidR="007E4BD6"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digital age has refined and expanded the scope of both personalized medicine and preventative healthcare, moving beyond traditional approaches to embrace data-driven, individualized strategies.</w:t>
      </w:r>
    </w:p>
    <w:p w14:paraId="2696DCC0" w14:textId="77777777" w:rsidR="007E4BD6"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b/>
          <w:color w:val="1B1C1D"/>
          <w:sz w:val="24"/>
          <w:szCs w:val="24"/>
        </w:rPr>
        <w:t>Personalized Medicine</w:t>
      </w:r>
      <w:r>
        <w:rPr>
          <w:rFonts w:ascii="Google Sans Text" w:eastAsia="Google Sans Text" w:hAnsi="Google Sans Text" w:cs="Google Sans Text"/>
          <w:color w:val="1B1C1D"/>
          <w:sz w:val="24"/>
          <w:szCs w:val="24"/>
        </w:rPr>
        <w:t xml:space="preserve">, often used interchangeably with "precision medicine," is an innovative approach that </w:t>
      </w:r>
      <w:proofErr w:type="gramStart"/>
      <w:r>
        <w:rPr>
          <w:rFonts w:ascii="Google Sans Text" w:eastAsia="Google Sans Text" w:hAnsi="Google Sans Text" w:cs="Google Sans Text"/>
          <w:color w:val="1B1C1D"/>
          <w:sz w:val="24"/>
          <w:szCs w:val="24"/>
        </w:rPr>
        <w:t>tailors</w:t>
      </w:r>
      <w:proofErr w:type="gramEnd"/>
      <w:r>
        <w:rPr>
          <w:rFonts w:ascii="Google Sans Text" w:eastAsia="Google Sans Text" w:hAnsi="Google Sans Text" w:cs="Google Sans Text"/>
          <w:color w:val="1B1C1D"/>
          <w:sz w:val="24"/>
          <w:szCs w:val="24"/>
        </w:rPr>
        <w:t xml:space="preserve"> disease prevention and treatment by considering the inherent differences in individuals' genes, environments, and lifestyles.</w:t>
      </w:r>
      <w:r>
        <w:rPr>
          <w:rFonts w:ascii="Google Sans Text" w:eastAsia="Google Sans Text" w:hAnsi="Google Sans Text" w:cs="Google Sans Text"/>
          <w:color w:val="575B5F"/>
          <w:sz w:val="24"/>
          <w:szCs w:val="24"/>
          <w:vertAlign w:val="superscript"/>
        </w:rPr>
        <w:t>4</w:t>
      </w:r>
      <w:r>
        <w:rPr>
          <w:rFonts w:ascii="Google Sans Text" w:eastAsia="Google Sans Text" w:hAnsi="Google Sans Text" w:cs="Google Sans Text"/>
          <w:color w:val="1B1C1D"/>
          <w:sz w:val="24"/>
          <w:szCs w:val="24"/>
        </w:rPr>
        <w:t xml:space="preserve"> The primary objective is to administer the "right treatments to the right patients at the right time".</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 xml:space="preserve"> This paradigm shift is a departure from the conventional "one-size-fits-all" model of medicine. Advances in this field have already culminated in treatments approved by regulatory bodies like the U.S. Food and Drug Administration (FDA), which are specifically tailored to an individual's genetic makeup or the unique genetic profile of a patient's tumor.</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 xml:space="preserve"> The National Institutes of Health (NIH) further elaborates on this by emphasizing the analysis of an individual's genes to identify medications that could be potentially dangerous or ineffective for them, and to calculate personalized dosages aligned with their unique DNA—a field known as pharmacogenomics.</w:t>
      </w:r>
      <w:r>
        <w:rPr>
          <w:rFonts w:ascii="Google Sans Text" w:eastAsia="Google Sans Text" w:hAnsi="Google Sans Text" w:cs="Google Sans Text"/>
          <w:color w:val="575B5F"/>
          <w:sz w:val="24"/>
          <w:szCs w:val="24"/>
          <w:vertAlign w:val="superscript"/>
        </w:rPr>
        <w:t>6</w:t>
      </w:r>
      <w:r>
        <w:rPr>
          <w:rFonts w:ascii="Google Sans Text" w:eastAsia="Google Sans Text" w:hAnsi="Google Sans Text" w:cs="Google Sans Text"/>
          <w:color w:val="1B1C1D"/>
          <w:sz w:val="24"/>
          <w:szCs w:val="24"/>
        </w:rPr>
        <w:t xml:space="preserve"> The decreasing cost of whole-genome sequencing, projected to be less than $1,000 per individual genome within the near future, is expected to make detailed genetic analysis a routine component of medical care, further propelling personalized medicine.</w:t>
      </w:r>
      <w:r>
        <w:rPr>
          <w:rFonts w:ascii="Google Sans Text" w:eastAsia="Google Sans Text" w:hAnsi="Google Sans Text" w:cs="Google Sans Text"/>
          <w:color w:val="575B5F"/>
          <w:sz w:val="24"/>
          <w:szCs w:val="24"/>
          <w:vertAlign w:val="superscript"/>
        </w:rPr>
        <w:t>6</w:t>
      </w:r>
    </w:p>
    <w:p w14:paraId="049F6F6C" w14:textId="77777777" w:rsidR="007E4BD6"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b/>
          <w:color w:val="1B1C1D"/>
          <w:sz w:val="24"/>
          <w:szCs w:val="24"/>
        </w:rPr>
        <w:t>Preventative Healthcare</w:t>
      </w:r>
      <w:r>
        <w:rPr>
          <w:rFonts w:ascii="Google Sans Text" w:eastAsia="Google Sans Text" w:hAnsi="Google Sans Text" w:cs="Google Sans Text"/>
          <w:color w:val="1B1C1D"/>
          <w:sz w:val="24"/>
          <w:szCs w:val="24"/>
        </w:rPr>
        <w:t>, also known as prophylaxis, encompasses the application of healthcare measures designed to prevent diseases from occurring or progressing.</w:t>
      </w:r>
      <w:r>
        <w:rPr>
          <w:rFonts w:ascii="Google Sans Text" w:eastAsia="Google Sans Text" w:hAnsi="Google Sans Text" w:cs="Google Sans Text"/>
          <w:color w:val="575B5F"/>
          <w:sz w:val="24"/>
          <w:szCs w:val="24"/>
          <w:vertAlign w:val="superscript"/>
        </w:rPr>
        <w:t>7</w:t>
      </w:r>
      <w:r>
        <w:rPr>
          <w:rFonts w:ascii="Google Sans Text" w:eastAsia="Google Sans Text" w:hAnsi="Google Sans Text" w:cs="Google Sans Text"/>
          <w:color w:val="1B1C1D"/>
          <w:sz w:val="24"/>
          <w:szCs w:val="24"/>
        </w:rPr>
        <w:t xml:space="preserve"> This approach recognizes that disease and disability are influenced by a confluence of environmental factors, genetic predispositions, disease agents, and lifestyle choices, often initiating dynamic processes before individuals are even aware of being affected.</w:t>
      </w:r>
      <w:r>
        <w:rPr>
          <w:rFonts w:ascii="Google Sans Text" w:eastAsia="Google Sans Text" w:hAnsi="Google Sans Text" w:cs="Google Sans Text"/>
          <w:color w:val="575B5F"/>
          <w:sz w:val="24"/>
          <w:szCs w:val="24"/>
          <w:vertAlign w:val="superscript"/>
        </w:rPr>
        <w:t>7</w:t>
      </w:r>
      <w:r>
        <w:rPr>
          <w:rFonts w:ascii="Google Sans Text" w:eastAsia="Google Sans Text" w:hAnsi="Google Sans Text" w:cs="Google Sans Text"/>
          <w:color w:val="1B1C1D"/>
          <w:sz w:val="24"/>
          <w:szCs w:val="24"/>
        </w:rPr>
        <w:t xml:space="preserve"> Preventative care includes a wide array of services such as annual physical examinations, screenings for common and life-threatening conditions like </w:t>
      </w:r>
      <w:r>
        <w:rPr>
          <w:rFonts w:ascii="Google Sans Text" w:eastAsia="Google Sans Text" w:hAnsi="Google Sans Text" w:cs="Google Sans Text"/>
          <w:color w:val="1B1C1D"/>
          <w:sz w:val="24"/>
          <w:szCs w:val="24"/>
        </w:rPr>
        <w:lastRenderedPageBreak/>
        <w:t>cancer, diabetes, and hypertension, as well as counseling for lifestyle modifications, vaccinations, prenatal care, and regular pediatric wellness visits.</w:t>
      </w:r>
      <w:r>
        <w:rPr>
          <w:rFonts w:ascii="Google Sans Text" w:eastAsia="Google Sans Text" w:hAnsi="Google Sans Text" w:cs="Google Sans Text"/>
          <w:color w:val="575B5F"/>
          <w:sz w:val="24"/>
          <w:szCs w:val="24"/>
          <w:vertAlign w:val="superscript"/>
        </w:rPr>
        <w:t>9</w:t>
      </w:r>
      <w:r>
        <w:rPr>
          <w:rFonts w:ascii="Google Sans Text" w:eastAsia="Google Sans Text" w:hAnsi="Google Sans Text" w:cs="Google Sans Text"/>
          <w:color w:val="1B1C1D"/>
          <w:sz w:val="24"/>
          <w:szCs w:val="24"/>
        </w:rPr>
        <w:t xml:space="preserve"> The World Health Organization (WHO) contextualizes preventative efforts within the broader framework of Primary Health Care (PHC), advocating for a whole-of-society approach that integrates health promotion and disease prevention measures to bring health and wellbeing services closer to communities.</w:t>
      </w:r>
      <w:r>
        <w:rPr>
          <w:rFonts w:ascii="Google Sans Text" w:eastAsia="Google Sans Text" w:hAnsi="Google Sans Text" w:cs="Google Sans Text"/>
          <w:color w:val="575B5F"/>
          <w:sz w:val="24"/>
          <w:szCs w:val="24"/>
          <w:vertAlign w:val="superscript"/>
        </w:rPr>
        <w:t>11</w:t>
      </w:r>
    </w:p>
    <w:p w14:paraId="73822227" w14:textId="77777777" w:rsidR="007E4BD6"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advent of AI and Big Data is fostering a convergence between these two fields. The capacity to analyze vast individual-level datasets—spanning genomics, lifestyle choices recorded by wearables, electronic health records (EHRs), and social determinants of health—allows for highly granular risk prediction.</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This, in turn, enables preventative strategies to be tailored to an individual's specific risk profile, leading to the emergence of "personalized preventative healthcare." This evolution signifies a move from generalized public health recommendations to proactive, individualized health management.</w:t>
      </w:r>
    </w:p>
    <w:p w14:paraId="62651A8B" w14:textId="77777777" w:rsidR="007E4BD6" w:rsidRDefault="00000000">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Table 1: Definitions of Key Concepts</w:t>
      </w:r>
    </w:p>
    <w:p w14:paraId="5BB82162" w14:textId="77777777" w:rsidR="007E4BD6" w:rsidRDefault="007E4BD6">
      <w:pPr>
        <w:pBdr>
          <w:top w:val="nil"/>
          <w:left w:val="nil"/>
          <w:bottom w:val="nil"/>
          <w:right w:val="nil"/>
          <w:between w:val="nil"/>
        </w:pBdr>
        <w:spacing w:line="275" w:lineRule="auto"/>
        <w:rPr>
          <w:rFonts w:ascii="Google Sans Text" w:eastAsia="Google Sans Text" w:hAnsi="Google Sans Text" w:cs="Google Sans Text"/>
          <w:b/>
          <w:color w:val="1B1C1D"/>
          <w:sz w:val="24"/>
          <w:szCs w:val="24"/>
        </w:rPr>
      </w:pPr>
    </w:p>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7E4BD6" w14:paraId="39351613"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E5931B"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Concept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4938DE"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Definition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17701E"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Key Sources</w:t>
            </w:r>
          </w:p>
        </w:tc>
      </w:tr>
      <w:tr w:rsidR="007E4BD6" w14:paraId="751A3BAD"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9CB550"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Personalized Medicine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E492CE"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An innovative approach to tailoring disease prevention and treatment that takes into account differences in people's genes, environments, and lifestyles. Goal is to target the right treatments to the right patients at the right time.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E0D362"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4</w:t>
            </w:r>
          </w:p>
        </w:tc>
      </w:tr>
      <w:tr w:rsidR="007E4BD6" w14:paraId="0511834E"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705D54" w14:textId="77777777" w:rsidR="007E4BD6" w:rsidRDefault="007E4BD6">
            <w:pPr>
              <w:pBdr>
                <w:top w:val="nil"/>
                <w:left w:val="nil"/>
                <w:bottom w:val="nil"/>
                <w:right w:val="nil"/>
                <w:between w:val="nil"/>
              </w:pBdr>
              <w:spacing w:line="276" w:lineRule="auto"/>
              <w:rPr>
                <w:rFonts w:ascii="Google Sans Text" w:eastAsia="Google Sans Text" w:hAnsi="Google Sans Text" w:cs="Google Sans Text"/>
                <w:color w:val="575B5F"/>
                <w:sz w:val="24"/>
                <w:szCs w:val="24"/>
                <w:vertAlign w:val="superscript"/>
              </w:rPr>
            </w:pP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B90E33"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Analyzing genes to identify dangerous/ineffective drugs and calculate personalized dosages based on DNA (pharmacogenomics).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627439"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6</w:t>
            </w:r>
          </w:p>
        </w:tc>
      </w:tr>
      <w:tr w:rsidR="007E4BD6" w14:paraId="791A3929"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E6FD96"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Preventative Healthcare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9B2A73"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Application of healthcare </w:t>
            </w:r>
            <w:r>
              <w:rPr>
                <w:rFonts w:ascii="Google Sans Text" w:eastAsia="Google Sans Text" w:hAnsi="Google Sans Text" w:cs="Google Sans Text"/>
                <w:color w:val="1B1C1D"/>
                <w:sz w:val="20"/>
                <w:szCs w:val="20"/>
              </w:rPr>
              <w:lastRenderedPageBreak/>
              <w:t>measures to prevent diseases, considering environmental factors, genetic predisposition, disease agents, and lifestyle choices.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B85824"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lastRenderedPageBreak/>
              <w:t>7</w:t>
            </w:r>
          </w:p>
        </w:tc>
      </w:tr>
      <w:tr w:rsidR="007E4BD6" w14:paraId="2C8FCE7F"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0FE329" w14:textId="77777777" w:rsidR="007E4BD6" w:rsidRDefault="007E4BD6">
            <w:pPr>
              <w:pBdr>
                <w:top w:val="nil"/>
                <w:left w:val="nil"/>
                <w:bottom w:val="nil"/>
                <w:right w:val="nil"/>
                <w:between w:val="nil"/>
              </w:pBdr>
              <w:spacing w:line="276" w:lineRule="auto"/>
              <w:rPr>
                <w:rFonts w:ascii="Google Sans Text" w:eastAsia="Google Sans Text" w:hAnsi="Google Sans Text" w:cs="Google Sans Text"/>
                <w:color w:val="575B5F"/>
                <w:sz w:val="24"/>
                <w:szCs w:val="24"/>
                <w:vertAlign w:val="superscript"/>
              </w:rPr>
            </w:pP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8A931B"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Includes medical services (annual physicals, screenings, counseling, vaccinations) to prevent emergencies and detect issues early.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3A4C59"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9</w:t>
            </w:r>
          </w:p>
        </w:tc>
      </w:tr>
      <w:tr w:rsidR="007E4BD6" w14:paraId="65D9C70E"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F1A1A6" w14:textId="77777777" w:rsidR="007E4BD6" w:rsidRDefault="007E4BD6">
            <w:pPr>
              <w:pBdr>
                <w:top w:val="nil"/>
                <w:left w:val="nil"/>
                <w:bottom w:val="nil"/>
                <w:right w:val="nil"/>
                <w:between w:val="nil"/>
              </w:pBdr>
              <w:spacing w:line="276" w:lineRule="auto"/>
              <w:rPr>
                <w:rFonts w:ascii="Google Sans Text" w:eastAsia="Google Sans Text" w:hAnsi="Google Sans Text" w:cs="Google Sans Text"/>
                <w:color w:val="575B5F"/>
                <w:sz w:val="24"/>
                <w:szCs w:val="24"/>
                <w:vertAlign w:val="superscript"/>
              </w:rPr>
            </w:pP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D32A09"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WHO: Primary Health Care encompasses health promotion and disease prevention as part of a whole-of-society approach.</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004EBF"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11</w:t>
            </w:r>
          </w:p>
        </w:tc>
      </w:tr>
      <w:tr w:rsidR="007E4BD6" w14:paraId="0B4B1FD5"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B663D6"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AI in Healthcare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20FD54"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Simulation of human intelligence processes by machines; use of machine learning models to process medical data and provide insights for improved outcomes and experiences.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A371A2"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2</w:t>
            </w:r>
          </w:p>
        </w:tc>
      </w:tr>
      <w:tr w:rsidR="007E4BD6" w14:paraId="747B2FEF"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10E8E6" w14:textId="77777777" w:rsidR="007E4BD6" w:rsidRDefault="007E4BD6">
            <w:pPr>
              <w:pBdr>
                <w:top w:val="nil"/>
                <w:left w:val="nil"/>
                <w:bottom w:val="nil"/>
                <w:right w:val="nil"/>
                <w:between w:val="nil"/>
              </w:pBdr>
              <w:spacing w:line="276" w:lineRule="auto"/>
              <w:rPr>
                <w:rFonts w:ascii="Google Sans Text" w:eastAsia="Google Sans Text" w:hAnsi="Google Sans Text" w:cs="Google Sans Text"/>
                <w:color w:val="575B5F"/>
                <w:sz w:val="24"/>
                <w:szCs w:val="24"/>
                <w:vertAlign w:val="superscript"/>
              </w:rPr>
            </w:pP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C39414"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Techniques include natural language processing, rule-based expert systems, physical robots, and robotic process automation. Common roles: clinical decision support and imaging analysis.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14728B"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13</w:t>
            </w:r>
          </w:p>
        </w:tc>
      </w:tr>
      <w:tr w:rsidR="007E4BD6" w14:paraId="1B8D3209"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EAE42D"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Big Data in Healthcare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407208"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Collection, analysis, and utilization of vast amounts of health-related information (EHRs, genomics, lifestyle, clinical, imaging, social </w:t>
            </w:r>
            <w:r>
              <w:rPr>
                <w:rFonts w:ascii="Google Sans Text" w:eastAsia="Google Sans Text" w:hAnsi="Google Sans Text" w:cs="Google Sans Text"/>
                <w:color w:val="1B1C1D"/>
                <w:sz w:val="20"/>
                <w:szCs w:val="20"/>
              </w:rPr>
              <w:lastRenderedPageBreak/>
              <w:t>determinants) to enhance patient outcomes, predict diseases, and reduce healthcare costs.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637505"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lastRenderedPageBreak/>
              <w:t>1</w:t>
            </w:r>
          </w:p>
        </w:tc>
      </w:tr>
      <w:tr w:rsidR="007E4BD6" w14:paraId="6493752E"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C5486E" w14:textId="77777777" w:rsidR="007E4BD6" w:rsidRDefault="007E4BD6">
            <w:pPr>
              <w:pBdr>
                <w:top w:val="nil"/>
                <w:left w:val="nil"/>
                <w:bottom w:val="nil"/>
                <w:right w:val="nil"/>
                <w:between w:val="nil"/>
              </w:pBdr>
              <w:spacing w:line="276" w:lineRule="auto"/>
              <w:rPr>
                <w:rFonts w:ascii="Google Sans Text" w:eastAsia="Google Sans Text" w:hAnsi="Google Sans Text" w:cs="Google Sans Text"/>
                <w:color w:val="575B5F"/>
                <w:sz w:val="24"/>
                <w:szCs w:val="24"/>
                <w:vertAlign w:val="superscript"/>
              </w:rPr>
            </w:pP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78708A"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Extremely large and complex datasets (structured, semi-structured, unstructured) from various sources, leveraged to drive healthcare innovation.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822A08" w14:textId="77777777" w:rsidR="007E4BD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1</w:t>
            </w:r>
          </w:p>
        </w:tc>
      </w:tr>
    </w:tbl>
    <w:p w14:paraId="080364B8" w14:textId="77777777" w:rsidR="007E4BD6"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This table provides foundational definitions, ensuring clarity for the subsequent detailed analysis. The precise understanding of these terms is crucial as the report delves into their complex interplay and implications.</w:t>
      </w:r>
    </w:p>
    <w:p w14:paraId="053B95C1" w14:textId="77777777" w:rsidR="007E4BD6"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2.2 The Role of Artificial Intelligence and Big Data: Core Concepts and Capabilities</w:t>
      </w:r>
    </w:p>
    <w:p w14:paraId="59ECB559" w14:textId="77777777" w:rsidR="007E4BD6"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transformative potential in personalized medicine and preventative healthcare is largely unlocked by the distinct yet synergistic capabilities of AI and Big Data.</w:t>
      </w:r>
    </w:p>
    <w:p w14:paraId="68F605ED" w14:textId="77777777" w:rsidR="007E4BD6"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 xml:space="preserve">Artificial Intelligence (AI) in </w:t>
      </w:r>
      <w:proofErr w:type="gramStart"/>
      <w:r>
        <w:rPr>
          <w:rFonts w:ascii="Google Sans Text" w:eastAsia="Google Sans Text" w:hAnsi="Google Sans Text" w:cs="Google Sans Text"/>
          <w:b/>
          <w:color w:val="1B1C1D"/>
          <w:sz w:val="24"/>
          <w:szCs w:val="24"/>
        </w:rPr>
        <w:t>Healthcare</w:t>
      </w:r>
      <w:proofErr w:type="gramEnd"/>
      <w:r>
        <w:rPr>
          <w:rFonts w:ascii="Google Sans Text" w:eastAsia="Google Sans Text" w:hAnsi="Google Sans Text" w:cs="Google Sans Text"/>
          <w:color w:val="1B1C1D"/>
          <w:sz w:val="24"/>
          <w:szCs w:val="24"/>
        </w:rPr>
        <w:t xml:space="preserve"> is broadly defined as the simulation of human intelligence processes by machines, particularly computer systems.</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sz w:val="24"/>
          <w:szCs w:val="24"/>
        </w:rPr>
        <w:t xml:space="preserve"> More specifically, it involves the use of machine learning (ML) models and other computational techniques to process complex medical data, extract meaningful insights, and support clinical decision-making, ultimately aiming to improve health outcomes and patient experiences.</w:t>
      </w:r>
      <w:r>
        <w:rPr>
          <w:rFonts w:ascii="Google Sans Text" w:eastAsia="Google Sans Text" w:hAnsi="Google Sans Text" w:cs="Google Sans Text"/>
          <w:color w:val="575B5F"/>
          <w:sz w:val="24"/>
          <w:szCs w:val="24"/>
          <w:vertAlign w:val="superscript"/>
        </w:rPr>
        <w:t>13</w:t>
      </w:r>
      <w:r>
        <w:rPr>
          <w:rFonts w:ascii="Google Sans Text" w:eastAsia="Google Sans Text" w:hAnsi="Google Sans Text" w:cs="Google Sans Text"/>
          <w:color w:val="1B1C1D"/>
          <w:sz w:val="24"/>
          <w:szCs w:val="24"/>
        </w:rPr>
        <w:t xml:space="preserve"> Key AI techniques employed in healthcare include:</w:t>
      </w:r>
    </w:p>
    <w:p w14:paraId="414E32D5" w14:textId="77777777" w:rsidR="007E4BD6"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Machine Learning (ML):</w:t>
      </w:r>
      <w:r>
        <w:rPr>
          <w:rFonts w:ascii="Google Sans Text" w:eastAsia="Google Sans Text" w:hAnsi="Google Sans Text" w:cs="Google Sans Text"/>
          <w:color w:val="1B1C1D"/>
          <w:sz w:val="24"/>
          <w:szCs w:val="24"/>
        </w:rPr>
        <w:t xml:space="preserve"> Algorithms that enable systems to learn from data without being explicitly programmed. This includes supervised learning (learning from labeled data), unsupervised learning (finding patterns in unlabeled data), and reinforcement learning (learning through trial and error). Deep learning, a subset of ML using multi-layered neural networks, is particularly powerful for complex tasks like image recognition and NLP.</w:t>
      </w:r>
      <w:r>
        <w:rPr>
          <w:rFonts w:ascii="Google Sans Text" w:eastAsia="Google Sans Text" w:hAnsi="Google Sans Text" w:cs="Google Sans Text"/>
          <w:color w:val="575B5F"/>
          <w:sz w:val="24"/>
          <w:szCs w:val="24"/>
          <w:vertAlign w:val="superscript"/>
        </w:rPr>
        <w:t>13</w:t>
      </w:r>
    </w:p>
    <w:p w14:paraId="7000F822" w14:textId="77777777" w:rsidR="007E4BD6"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Natural Language Processing (NLP):</w:t>
      </w:r>
      <w:r>
        <w:rPr>
          <w:rFonts w:ascii="Google Sans Text" w:eastAsia="Google Sans Text" w:hAnsi="Google Sans Text" w:cs="Google Sans Text"/>
          <w:color w:val="1B1C1D"/>
          <w:sz w:val="24"/>
          <w:szCs w:val="24"/>
        </w:rPr>
        <w:t xml:space="preserve"> Enables computers to understand, interpret, and generate human language. In healthcare, NLP is used for tasks like extracting information from unstructured clinical notes, analyzing patient-reported outcomes, and powering chatbots for patient interaction.</w:t>
      </w:r>
      <w:r>
        <w:rPr>
          <w:rFonts w:ascii="Google Sans Text" w:eastAsia="Google Sans Text" w:hAnsi="Google Sans Text" w:cs="Google Sans Text"/>
          <w:color w:val="575B5F"/>
          <w:sz w:val="24"/>
          <w:szCs w:val="24"/>
          <w:vertAlign w:val="superscript"/>
        </w:rPr>
        <w:t>14</w:t>
      </w:r>
    </w:p>
    <w:p w14:paraId="703C19A0" w14:textId="77777777" w:rsidR="007E4BD6"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lastRenderedPageBreak/>
        <w:t>Rule-Based Expert Systems:</w:t>
      </w:r>
      <w:r>
        <w:rPr>
          <w:rFonts w:ascii="Google Sans Text" w:eastAsia="Google Sans Text" w:hAnsi="Google Sans Text" w:cs="Google Sans Text"/>
          <w:color w:val="1B1C1D"/>
          <w:sz w:val="24"/>
          <w:szCs w:val="24"/>
        </w:rPr>
        <w:t xml:space="preserve"> Systems that use a set of pre-defined rules (often "if-then" statements) to make decisions or recommendations, frequently integrated into EHRs for clinical decision support.</w:t>
      </w:r>
      <w:r>
        <w:rPr>
          <w:rFonts w:ascii="Google Sans Text" w:eastAsia="Google Sans Text" w:hAnsi="Google Sans Text" w:cs="Google Sans Text"/>
          <w:color w:val="575B5F"/>
          <w:sz w:val="24"/>
          <w:szCs w:val="24"/>
          <w:vertAlign w:val="superscript"/>
        </w:rPr>
        <w:t>14</w:t>
      </w:r>
    </w:p>
    <w:p w14:paraId="4CAFF0E8" w14:textId="77777777" w:rsidR="007E4BD6" w:rsidRDefault="00000000">
      <w:pPr>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Physical Robots and Robotic Process Automation (RPA):</w:t>
      </w:r>
      <w:r>
        <w:rPr>
          <w:rFonts w:ascii="Google Sans Text" w:eastAsia="Google Sans Text" w:hAnsi="Google Sans Text" w:cs="Google Sans Text"/>
          <w:color w:val="1B1C1D"/>
          <w:sz w:val="24"/>
          <w:szCs w:val="24"/>
        </w:rPr>
        <w:t xml:space="preserve"> Used for tasks ranging from surgical assistance and laboratory automation to streamlining administrative processes like billing and scheduling.</w:t>
      </w:r>
      <w:r>
        <w:rPr>
          <w:rFonts w:ascii="Google Sans Text" w:eastAsia="Google Sans Text" w:hAnsi="Google Sans Text" w:cs="Google Sans Text"/>
          <w:color w:val="575B5F"/>
          <w:sz w:val="24"/>
          <w:szCs w:val="24"/>
          <w:vertAlign w:val="superscript"/>
        </w:rPr>
        <w:t>14</w:t>
      </w:r>
    </w:p>
    <w:p w14:paraId="14B9CFC6" w14:textId="77777777" w:rsidR="007E4BD6" w:rsidRDefault="00000000">
      <w:pPr>
        <w:pBdr>
          <w:top w:val="nil"/>
          <w:left w:val="nil"/>
          <w:bottom w:val="nil"/>
          <w:right w:val="nil"/>
          <w:between w:val="nil"/>
        </w:pBdr>
        <w:spacing w:before="240"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Common applications of AI in clinical settings currently revolve around clinical decision support tools, which assist providers with diagnoses and treatment planning, and advanced medical imaging analysis.</w:t>
      </w:r>
      <w:r>
        <w:rPr>
          <w:rFonts w:ascii="Google Sans Text" w:eastAsia="Google Sans Text" w:hAnsi="Google Sans Text" w:cs="Google Sans Text"/>
          <w:color w:val="575B5F"/>
          <w:sz w:val="24"/>
          <w:szCs w:val="24"/>
          <w:vertAlign w:val="superscript"/>
        </w:rPr>
        <w:t>13</w:t>
      </w:r>
    </w:p>
    <w:p w14:paraId="37648A17" w14:textId="77777777" w:rsidR="007E4BD6"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Big Data in Healthcare</w:t>
      </w:r>
      <w:r>
        <w:rPr>
          <w:rFonts w:ascii="Google Sans Text" w:eastAsia="Google Sans Text" w:hAnsi="Google Sans Text" w:cs="Google Sans Text"/>
          <w:color w:val="1B1C1D"/>
          <w:sz w:val="24"/>
          <w:szCs w:val="24"/>
        </w:rPr>
        <w:t xml:space="preserve"> refers to the systematic collection, sophisticated analysis, and strategic utilization of extremely large and complex datasets pertinent to health and healthcare.</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These datasets are characterized by their sheer volume, the variety of data types they encompass, and the velocity at which they are generated and need to be processed. Sources are diverse, including:</w:t>
      </w:r>
    </w:p>
    <w:p w14:paraId="27125FCF" w14:textId="77777777" w:rsidR="007E4BD6" w:rsidRDefault="00000000">
      <w:pPr>
        <w:numPr>
          <w:ilvl w:val="0"/>
          <w:numId w:val="18"/>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Electronic Health Records (EHRs): Digital versions of patients' paper charts, containing medical history, diagnoses, medications, treatment plans, immunization dates, allergies, radiology images, and laboratory test results.</w:t>
      </w:r>
    </w:p>
    <w:p w14:paraId="06F25EAC" w14:textId="77777777" w:rsidR="007E4BD6" w:rsidRDefault="00000000">
      <w:pPr>
        <w:numPr>
          <w:ilvl w:val="0"/>
          <w:numId w:val="18"/>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Genomic and Proteomic Data: Information about an individual's genetic makeup and protein expression, crucial for understanding disease predisposition and drug response.</w:t>
      </w:r>
    </w:p>
    <w:p w14:paraId="1B269120" w14:textId="77777777" w:rsidR="007E4BD6" w:rsidRDefault="00000000">
      <w:pPr>
        <w:numPr>
          <w:ilvl w:val="0"/>
          <w:numId w:val="18"/>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Medical Imaging Data: Outputs from X-rays, CT scans, MRIs, ultrasounds, etc.</w:t>
      </w:r>
    </w:p>
    <w:p w14:paraId="319A4BA6" w14:textId="77777777" w:rsidR="007E4BD6" w:rsidRDefault="00000000">
      <w:pPr>
        <w:numPr>
          <w:ilvl w:val="0"/>
          <w:numId w:val="18"/>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Lifestyle and Behavioral Data: Information gathered from wearable devices (tracking activity, sleep, heart rate), mobile health apps, patient surveys, and even social media, reflecting daily habits and environmental exposures.</w:t>
      </w:r>
    </w:p>
    <w:p w14:paraId="0754DCAD" w14:textId="77777777" w:rsidR="007E4BD6" w:rsidRDefault="00000000">
      <w:pPr>
        <w:numPr>
          <w:ilvl w:val="0"/>
          <w:numId w:val="18"/>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Clinical Trial Data: Data from research studies evaluating new treatments and interventions.</w:t>
      </w:r>
    </w:p>
    <w:p w14:paraId="5DA28341" w14:textId="77777777" w:rsidR="007E4BD6" w:rsidRDefault="00000000">
      <w:pPr>
        <w:numPr>
          <w:ilvl w:val="0"/>
          <w:numId w:val="18"/>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Social Determinants of Health (SDOH): Data related to the conditions in which people are born, grow, live, work, and age, such as socioeconomic status, education, neighborhood, and physical environment.</w:t>
      </w:r>
    </w:p>
    <w:p w14:paraId="3E924D79" w14:textId="77777777" w:rsidR="007E4BD6" w:rsidRDefault="00000000">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significance of Big Data in healthcare lies not just in its volume, but in its rich variety—spanning structured data (e.g., lab values), semi-structured data (e.g., HL7 messages), and unstructured data (e.g., physician's notes, medical images).</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AI, with techniques like NLP and advanced machine learning, is uniquely equipped to process and derive insights from these heterogeneous and high-velocity data streams, which are often beyond the capacity of traditional analytical methods.</w:t>
      </w:r>
      <w:r>
        <w:rPr>
          <w:rFonts w:ascii="Google Sans Text" w:eastAsia="Google Sans Text" w:hAnsi="Google Sans Text" w:cs="Google Sans Text"/>
          <w:color w:val="575B5F"/>
          <w:sz w:val="24"/>
          <w:szCs w:val="24"/>
          <w:vertAlign w:val="superscript"/>
        </w:rPr>
        <w:t>13</w:t>
      </w:r>
      <w:r>
        <w:rPr>
          <w:rFonts w:ascii="Google Sans Text" w:eastAsia="Google Sans Text" w:hAnsi="Google Sans Text" w:cs="Google Sans Text"/>
          <w:color w:val="1B1C1D"/>
          <w:sz w:val="24"/>
          <w:szCs w:val="24"/>
        </w:rPr>
        <w:t xml:space="preserve"> This synergy—AI </w:t>
      </w:r>
      <w:r>
        <w:rPr>
          <w:rFonts w:ascii="Google Sans Text" w:eastAsia="Google Sans Text" w:hAnsi="Google Sans Text" w:cs="Google Sans Text"/>
          <w:color w:val="1B1C1D"/>
          <w:sz w:val="24"/>
          <w:szCs w:val="24"/>
        </w:rPr>
        <w:lastRenderedPageBreak/>
        <w:t>providing the analytical engine and Big Data providing the fuel—is what enables the profound advancements in personalized and preventative care discussed in this report. The ability to integrate and interpret these diverse data sources allows for a more holistic understanding of individual health, paving the way for more precise, predictive, and personalized healthcare interventions.</w:t>
      </w:r>
    </w:p>
    <w:p w14:paraId="0DB2F446" w14:textId="77777777" w:rsidR="007E4BD6"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3. Advancing Personalized Medicine and Preventative Healthcare with AI and Big Data: Efficacy and Applications</w:t>
      </w:r>
    </w:p>
    <w:p w14:paraId="2551E8B0" w14:textId="77777777" w:rsidR="007E4BD6"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integration of AI and Big Data is yielding demonstrable improvements in healthcare efficacy, particularly in enhancing diagnostic accuracy, tailoring therapeutic interventions with unprecedented precision, and shifting the paradigm towards proactive disease risk prediction. This section explores these applications, supported by evidence of their effectiveness.</w:t>
      </w:r>
    </w:p>
    <w:p w14:paraId="525877CF" w14:textId="77777777" w:rsidR="007E4BD6"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3.1 Enhancing Diagnostic Accuracy</w:t>
      </w:r>
    </w:p>
    <w:p w14:paraId="26F9322B" w14:textId="77777777" w:rsidR="007E4BD6"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AI's capacity to analyze complex patterns in vast datasets is significantly augmenting the ability of clinicians to diagnose diseases earlier and more accurately.</w:t>
      </w:r>
    </w:p>
    <w:p w14:paraId="410659A9" w14:textId="77777777" w:rsidR="007E4BD6" w:rsidRDefault="00000000">
      <w:pPr>
        <w:pStyle w:val="Heading4"/>
        <w:spacing w:before="0" w:after="120" w:line="275" w:lineRule="auto"/>
        <w:rPr>
          <w:rFonts w:ascii="Google Sans" w:eastAsia="Google Sans" w:hAnsi="Google Sans" w:cs="Google Sans"/>
          <w:color w:val="1B1C1D"/>
        </w:rPr>
      </w:pPr>
      <w:r>
        <w:rPr>
          <w:rFonts w:ascii="Google Sans" w:eastAsia="Google Sans" w:hAnsi="Google Sans" w:cs="Google Sans"/>
          <w:color w:val="1B1C1D"/>
        </w:rPr>
        <w:t>3.1.1 AI in Medical Imaging (Radiology, Oncology, Cardiology)</w:t>
      </w:r>
    </w:p>
    <w:p w14:paraId="2BAA9185" w14:textId="77777777" w:rsidR="007E4BD6"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Medical imaging is a cornerstone of diagnosis, and AI is proving to be a powerful adjunct to human expertise in this domain. AI algorithms excel at analyzing various imaging modalities, such as Computed Tomography (CT) scans, X-rays, and Magnetic Resonance Imaging (MRI), often identifying subtle findings that might be missed by human radiologists.</w:t>
      </w:r>
      <w:r>
        <w:rPr>
          <w:rFonts w:ascii="Google Sans Text" w:eastAsia="Google Sans Text" w:hAnsi="Google Sans Text" w:cs="Google Sans Text"/>
          <w:color w:val="575B5F"/>
          <w:sz w:val="24"/>
          <w:szCs w:val="24"/>
          <w:vertAlign w:val="superscript"/>
        </w:rPr>
        <w:t>13</w:t>
      </w:r>
      <w:r>
        <w:rPr>
          <w:rFonts w:ascii="Google Sans Text" w:eastAsia="Google Sans Text" w:hAnsi="Google Sans Text" w:cs="Google Sans Text"/>
          <w:color w:val="1B1C1D"/>
          <w:sz w:val="24"/>
          <w:szCs w:val="24"/>
        </w:rPr>
        <w:t xml:space="preserve"> The quantitative impact is notable: studies report AI achieving 94% accuracy in detecting tumors from patient scans </w:t>
      </w:r>
      <w:r>
        <w:rPr>
          <w:rFonts w:ascii="Google Sans Text" w:eastAsia="Google Sans Text" w:hAnsi="Google Sans Text" w:cs="Google Sans Text"/>
          <w:color w:val="575B5F"/>
          <w:sz w:val="24"/>
          <w:szCs w:val="24"/>
          <w:vertAlign w:val="superscript"/>
        </w:rPr>
        <w:t>20</w:t>
      </w:r>
      <w:r>
        <w:rPr>
          <w:rFonts w:ascii="Google Sans Text" w:eastAsia="Google Sans Text" w:hAnsi="Google Sans Text" w:cs="Google Sans Text"/>
          <w:color w:val="1B1C1D"/>
          <w:sz w:val="24"/>
          <w:szCs w:val="24"/>
        </w:rPr>
        <w:t xml:space="preserve"> and 90-95% accuracy in certain types of cancer detection, compared to 85-90% for experienced radiologists.</w:t>
      </w:r>
      <w:r>
        <w:rPr>
          <w:rFonts w:ascii="Google Sans Text" w:eastAsia="Google Sans Text" w:hAnsi="Google Sans Text" w:cs="Google Sans Text"/>
          <w:color w:val="575B5F"/>
          <w:sz w:val="24"/>
          <w:szCs w:val="24"/>
          <w:vertAlign w:val="superscript"/>
        </w:rPr>
        <w:t>21</w:t>
      </w:r>
      <w:r>
        <w:rPr>
          <w:rFonts w:ascii="Google Sans Text" w:eastAsia="Google Sans Text" w:hAnsi="Google Sans Text" w:cs="Google Sans Text"/>
          <w:color w:val="1B1C1D"/>
          <w:sz w:val="24"/>
          <w:szCs w:val="24"/>
        </w:rPr>
        <w:t xml:space="preserve"> Furthermore, AI-driven clinical decision support systems have demonstrated a 20-30% improvement in diagnostic accuracy for cardiovascular and diabetic cases through more thorough data analysis and cross-referencing capabilities.</w:t>
      </w:r>
      <w:r>
        <w:rPr>
          <w:rFonts w:ascii="Google Sans Text" w:eastAsia="Google Sans Text" w:hAnsi="Google Sans Text" w:cs="Google Sans Text"/>
          <w:color w:val="575B5F"/>
          <w:sz w:val="24"/>
          <w:szCs w:val="24"/>
          <w:vertAlign w:val="superscript"/>
        </w:rPr>
        <w:t>22</w:t>
      </w:r>
    </w:p>
    <w:p w14:paraId="499D6F16" w14:textId="77777777" w:rsidR="007E4BD6"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Specific applications across specialties further illustrate this efficacy:</w:t>
      </w:r>
    </w:p>
    <w:p w14:paraId="2332220A" w14:textId="6EEC406C" w:rsidR="007E4BD6" w:rsidRDefault="00000000" w:rsidP="000D3EB9">
      <w:pPr>
        <w:numPr>
          <w:ilvl w:val="0"/>
          <w:numId w:val="27"/>
        </w:numPr>
        <w:pBdr>
          <w:top w:val="nil"/>
          <w:left w:val="nil"/>
          <w:bottom w:val="nil"/>
          <w:right w:val="nil"/>
          <w:between w:val="nil"/>
        </w:pBdr>
        <w:spacing w:line="275" w:lineRule="auto"/>
        <w:rPr>
          <w:rFonts w:ascii="Google Sans" w:eastAsia="Google Sans" w:hAnsi="Google Sans" w:cs="Google Sans"/>
        </w:rPr>
      </w:pPr>
      <w:r>
        <w:rPr>
          <w:rFonts w:ascii="Google Sans Text" w:eastAsia="Google Sans Text" w:hAnsi="Google Sans Text" w:cs="Google Sans Text"/>
          <w:b/>
          <w:color w:val="1B1C1D"/>
          <w:sz w:val="24"/>
          <w:szCs w:val="24"/>
        </w:rPr>
        <w:t>Radiology:</w:t>
      </w:r>
      <w:r>
        <w:rPr>
          <w:rFonts w:ascii="Google Sans Text" w:eastAsia="Google Sans Text" w:hAnsi="Google Sans Text" w:cs="Google Sans Text"/>
          <w:color w:val="1B1C1D"/>
          <w:sz w:val="24"/>
          <w:szCs w:val="24"/>
        </w:rPr>
        <w:t xml:space="preserve"> A significant advancement is AI-assisted low-dose imaging. AI algorithms can enhance the quality of images acquired with reduced radiation exposure—by as much as 36-70%—without compromising diagnostic information.</w:t>
      </w:r>
      <w:r>
        <w:rPr>
          <w:rFonts w:ascii="Google Sans Text" w:eastAsia="Google Sans Text" w:hAnsi="Google Sans Text" w:cs="Google Sans Text"/>
          <w:color w:val="575B5F"/>
          <w:sz w:val="24"/>
          <w:szCs w:val="24"/>
          <w:vertAlign w:val="superscript"/>
        </w:rPr>
        <w:t>23</w:t>
      </w:r>
      <w:r>
        <w:rPr>
          <w:rFonts w:ascii="Google Sans Text" w:eastAsia="Google Sans Text" w:hAnsi="Google Sans Text" w:cs="Google Sans Text"/>
          <w:color w:val="1B1C1D"/>
          <w:sz w:val="24"/>
          <w:szCs w:val="24"/>
        </w:rPr>
        <w:t xml:space="preserve"> This is crucial for patient safety, especially for those requiring frequent imaging. AI also contributes to artifact reduction and super-resolution </w:t>
      </w:r>
      <w:r>
        <w:rPr>
          <w:rFonts w:ascii="Google Sans" w:eastAsia="Google Sans" w:hAnsi="Google Sans" w:cs="Google Sans"/>
        </w:rPr>
        <w:lastRenderedPageBreak/>
        <w:t>Works cited</w:t>
      </w:r>
    </w:p>
    <w:p w14:paraId="5550AEC0"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Big Data in Healthcare: Opportunities and Challenges | MGH IHP, accessed May 21, 2025, </w:t>
      </w:r>
      <w:hyperlink r:id="rId5">
        <w:r>
          <w:rPr>
            <w:rFonts w:ascii="Google Sans" w:eastAsia="Google Sans" w:hAnsi="Google Sans" w:cs="Google Sans"/>
            <w:color w:val="0000EE"/>
            <w:sz w:val="24"/>
            <w:szCs w:val="24"/>
            <w:u w:val="single"/>
          </w:rPr>
          <w:t>https://www.mghihp.edu/news-and-more/opinions/data-analytics/big-data-healthcare-opportunities-and-challenges</w:t>
        </w:r>
      </w:hyperlink>
    </w:p>
    <w:p w14:paraId="134CE2C8"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www.jetir.org, accessed May 21, 2025, </w:t>
      </w:r>
      <w:hyperlink r:id="rId6">
        <w:r>
          <w:rPr>
            <w:rFonts w:ascii="Google Sans" w:eastAsia="Google Sans" w:hAnsi="Google Sans" w:cs="Google Sans"/>
            <w:color w:val="0000EE"/>
            <w:sz w:val="24"/>
            <w:szCs w:val="24"/>
            <w:u w:val="single"/>
          </w:rPr>
          <w:t>https://www.jetir.org/papers/JETIR2501395.pdf</w:t>
        </w:r>
      </w:hyperlink>
    </w:p>
    <w:p w14:paraId="07A4BCC5"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Risks and remedies for artificial intelligence in health care, accessed May 21, 2025, </w:t>
      </w:r>
      <w:hyperlink r:id="rId7">
        <w:r>
          <w:rPr>
            <w:rFonts w:ascii="Google Sans" w:eastAsia="Google Sans" w:hAnsi="Google Sans" w:cs="Google Sans"/>
            <w:color w:val="0000EE"/>
            <w:sz w:val="24"/>
            <w:szCs w:val="24"/>
            <w:u w:val="single"/>
          </w:rPr>
          <w:t>https://www.brookings.edu/articles/risks-and-remedies-for-artificial-intelligence-in-health-care/</w:t>
        </w:r>
      </w:hyperlink>
    </w:p>
    <w:p w14:paraId="55EA8830"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www.fda.gov, accessed May 21, 2025, </w:t>
      </w:r>
      <w:hyperlink r:id="rId8" w:anchor=":~:text=Precision%20medicine%2C%20sometimes%20known%20as,genes%2C%20environments%2C%20and%20lifestyles.">
        <w:r>
          <w:rPr>
            <w:rFonts w:ascii="Google Sans" w:eastAsia="Google Sans" w:hAnsi="Google Sans" w:cs="Google Sans"/>
            <w:color w:val="0000EE"/>
            <w:sz w:val="24"/>
            <w:szCs w:val="24"/>
            <w:u w:val="single"/>
          </w:rPr>
          <w:t>https://www.fda.gov/medical-devices/in-vitro-diagnostics/precision-medicine#:~:text=Precision%20medicine%2C%20sometimes%20known%20as,genes%2C%20environments%2C%20and%20lifestyles.</w:t>
        </w:r>
      </w:hyperlink>
    </w:p>
    <w:p w14:paraId="2177833D"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Precision Medicine | FDA, accessed May 21, 2025, </w:t>
      </w:r>
      <w:hyperlink r:id="rId9">
        <w:r>
          <w:rPr>
            <w:rFonts w:ascii="Google Sans" w:eastAsia="Google Sans" w:hAnsi="Google Sans" w:cs="Google Sans"/>
            <w:color w:val="0000EE"/>
            <w:sz w:val="24"/>
            <w:szCs w:val="24"/>
            <w:u w:val="single"/>
          </w:rPr>
          <w:t>https://www.fda.gov/medical-devices/in-vitro-diagnostics/precision-medicine</w:t>
        </w:r>
      </w:hyperlink>
    </w:p>
    <w:p w14:paraId="00F280EC"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Personalized Medicine | National Institutes of Health (NIH), accessed May 21, 2025, </w:t>
      </w:r>
      <w:hyperlink r:id="rId10">
        <w:r>
          <w:rPr>
            <w:rFonts w:ascii="Google Sans" w:eastAsia="Google Sans" w:hAnsi="Google Sans" w:cs="Google Sans"/>
            <w:color w:val="0000EE"/>
            <w:sz w:val="24"/>
            <w:szCs w:val="24"/>
            <w:u w:val="single"/>
          </w:rPr>
          <w:t>https://www.nih.gov/about-nih/what-we-do/nih-turning-discovery-into-health/personalized-medicine</w:t>
        </w:r>
      </w:hyperlink>
    </w:p>
    <w:p w14:paraId="72489554"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en.wikipedia.org, accessed May 21, 2025, </w:t>
      </w:r>
      <w:hyperlink r:id="rId11" w:anchor=":~:text=Preventive%20healthcare%2C%20or%20prophylaxis%2C%20is,individuals%20realize%20they%20are%20affected.">
        <w:r>
          <w:rPr>
            <w:rFonts w:ascii="Google Sans" w:eastAsia="Google Sans" w:hAnsi="Google Sans" w:cs="Google Sans"/>
            <w:color w:val="0000EE"/>
            <w:sz w:val="24"/>
            <w:szCs w:val="24"/>
            <w:u w:val="single"/>
          </w:rPr>
          <w:t>https://en.wikipedia.org/wiki/Preventive_healthcare#:~:text=Preventive%20healthcare%2C%20or%20prophylaxis%2C%20is,individuals%20realize%20they%20are%20affected.</w:t>
        </w:r>
      </w:hyperlink>
    </w:p>
    <w:p w14:paraId="6595AF2D"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Preventive healthcare - Wikipedia, accessed May 21, 2025, </w:t>
      </w:r>
      <w:hyperlink r:id="rId12">
        <w:r>
          <w:rPr>
            <w:rFonts w:ascii="Google Sans" w:eastAsia="Google Sans" w:hAnsi="Google Sans" w:cs="Google Sans"/>
            <w:color w:val="0000EE"/>
            <w:sz w:val="24"/>
            <w:szCs w:val="24"/>
            <w:u w:val="single"/>
          </w:rPr>
          <w:t>https://en.wikipedia.org/wiki/Preventive_healthcare</w:t>
        </w:r>
      </w:hyperlink>
    </w:p>
    <w:p w14:paraId="3A6E39E0"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Preventative Health Care and Public Health - MPH Online, accessed May 21, 2025, </w:t>
      </w:r>
      <w:hyperlink r:id="rId13">
        <w:r>
          <w:rPr>
            <w:rFonts w:ascii="Google Sans" w:eastAsia="Google Sans" w:hAnsi="Google Sans" w:cs="Google Sans"/>
            <w:color w:val="0000EE"/>
            <w:sz w:val="24"/>
            <w:szCs w:val="24"/>
            <w:u w:val="single"/>
          </w:rPr>
          <w:t>https://www.mphonline.org/preventative-care-guide/</w:t>
        </w:r>
      </w:hyperlink>
    </w:p>
    <w:p w14:paraId="31AF08C3"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Importance of Preventive Care or Prophylaxis - Cleveland Clinic, accessed May 21, 2025, </w:t>
      </w:r>
      <w:hyperlink r:id="rId14">
        <w:r>
          <w:rPr>
            <w:rFonts w:ascii="Google Sans" w:eastAsia="Google Sans" w:hAnsi="Google Sans" w:cs="Google Sans"/>
            <w:color w:val="0000EE"/>
            <w:sz w:val="24"/>
            <w:szCs w:val="24"/>
            <w:u w:val="single"/>
          </w:rPr>
          <w:t>https://my.clevelandclinic.org/health/articles/prophylaxis-preventive-care</w:t>
        </w:r>
      </w:hyperlink>
    </w:p>
    <w:p w14:paraId="22EFF822"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Primary health care - World Health Organization (WHO), accessed May 21, 2025, </w:t>
      </w:r>
      <w:hyperlink r:id="rId15">
        <w:r>
          <w:rPr>
            <w:rFonts w:ascii="Google Sans" w:eastAsia="Google Sans" w:hAnsi="Google Sans" w:cs="Google Sans"/>
            <w:color w:val="0000EE"/>
            <w:sz w:val="24"/>
            <w:szCs w:val="24"/>
            <w:u w:val="single"/>
          </w:rPr>
          <w:t>https://www.who.int/health-topics/primary-health-care</w:t>
        </w:r>
      </w:hyperlink>
    </w:p>
    <w:p w14:paraId="6B0EFB47"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Data to Diagnosis: How AI is Transforming HealthCare | </w:t>
      </w:r>
      <w:proofErr w:type="spellStart"/>
      <w:r>
        <w:rPr>
          <w:rFonts w:ascii="Google Sans" w:eastAsia="Google Sans" w:hAnsi="Google Sans" w:cs="Google Sans"/>
          <w:sz w:val="24"/>
          <w:szCs w:val="24"/>
        </w:rPr>
        <w:t>CloudxLab</w:t>
      </w:r>
      <w:proofErr w:type="spellEnd"/>
      <w:r>
        <w:rPr>
          <w:rFonts w:ascii="Google Sans" w:eastAsia="Google Sans" w:hAnsi="Google Sans" w:cs="Google Sans"/>
          <w:sz w:val="24"/>
          <w:szCs w:val="24"/>
        </w:rPr>
        <w:t xml:space="preserve"> ..., accessed May 21, 2025, </w:t>
      </w:r>
      <w:hyperlink r:id="rId16">
        <w:r>
          <w:rPr>
            <w:rFonts w:ascii="Google Sans" w:eastAsia="Google Sans" w:hAnsi="Google Sans" w:cs="Google Sans"/>
            <w:color w:val="0000EE"/>
            <w:sz w:val="24"/>
            <w:szCs w:val="24"/>
            <w:u w:val="single"/>
          </w:rPr>
          <w:t>https://cloudxlab.com/blog/data-to-diagnosis-how-ai-is-transforming-healthcare/</w:t>
        </w:r>
      </w:hyperlink>
    </w:p>
    <w:p w14:paraId="38CAC536"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What is Artificial Intelligence in Medicine? | IBM, accessed May 21, 2025, </w:t>
      </w:r>
      <w:hyperlink r:id="rId17">
        <w:r>
          <w:rPr>
            <w:rFonts w:ascii="Google Sans" w:eastAsia="Google Sans" w:hAnsi="Google Sans" w:cs="Google Sans"/>
            <w:color w:val="0000EE"/>
            <w:sz w:val="24"/>
            <w:szCs w:val="24"/>
            <w:u w:val="single"/>
          </w:rPr>
          <w:t>https://www.ibm.com/think/topics/artificial-intelligence-medicine</w:t>
        </w:r>
      </w:hyperlink>
    </w:p>
    <w:p w14:paraId="55FC6A2E"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www.congress.gov, accessed May 21, 2025, </w:t>
      </w:r>
      <w:hyperlink r:id="rId18" w:anchor=":~:text=Some%20of%20the%20more%20widely,robots%3B%20and%20robotic%20process%20automation.">
        <w:r>
          <w:rPr>
            <w:rFonts w:ascii="Google Sans" w:eastAsia="Google Sans" w:hAnsi="Google Sans" w:cs="Google Sans"/>
            <w:color w:val="0000EE"/>
            <w:sz w:val="24"/>
            <w:szCs w:val="24"/>
            <w:u w:val="single"/>
          </w:rPr>
          <w:t>https://www.congress.gov/crs-product/R48319#:~:text=Some%20of%20the%20more%20widely,robots%3B%20and%20robotic%20process%20automation.</w:t>
        </w:r>
      </w:hyperlink>
    </w:p>
    <w:p w14:paraId="4F823E14" w14:textId="77777777" w:rsidR="007E4BD6" w:rsidRDefault="00000000">
      <w:pPr>
        <w:numPr>
          <w:ilvl w:val="0"/>
          <w:numId w:val="26"/>
        </w:numPr>
        <w:pBdr>
          <w:top w:val="nil"/>
          <w:left w:val="nil"/>
          <w:bottom w:val="nil"/>
          <w:right w:val="nil"/>
          <w:between w:val="nil"/>
        </w:pBdr>
      </w:pPr>
      <w:r>
        <w:rPr>
          <w:rFonts w:ascii="Google Sans" w:eastAsia="Google Sans" w:hAnsi="Google Sans" w:cs="Google Sans"/>
          <w:sz w:val="24"/>
          <w:szCs w:val="24"/>
        </w:rPr>
        <w:t xml:space="preserve">www.mghihp.edu, accessed May 21, 2025, </w:t>
      </w:r>
      <w:hyperlink r:id="rId19" w:anchor=":~:text=Big%20data%20in%20healthcare%20refers,diseases%2C%20and%20reduce%20healthcare%20costs.">
        <w:r>
          <w:rPr>
            <w:rFonts w:ascii="Google Sans" w:eastAsia="Google Sans" w:hAnsi="Google Sans" w:cs="Google Sans"/>
            <w:color w:val="0000EE"/>
            <w:sz w:val="24"/>
            <w:szCs w:val="24"/>
            <w:u w:val="single"/>
          </w:rPr>
          <w:t>https://www.mghihp.edu/news-and-more/opinions/data-analytics/big-data-healthcare-opportunities-and-challenges#:~:text=Big%20data%20in%20healthcare%20refers,diseases%2C%20and%20reduce%20healthcare%20costs.</w:t>
        </w:r>
      </w:hyperlink>
    </w:p>
    <w:p w14:paraId="53987293" w14:textId="412F10E7" w:rsidR="007E4BD6" w:rsidRDefault="000D3EB9" w:rsidP="000D3EB9">
      <w:pPr>
        <w:pStyle w:val="ListParagraph"/>
        <w:numPr>
          <w:ilvl w:val="0"/>
          <w:numId w:val="40"/>
        </w:numPr>
        <w:pBdr>
          <w:top w:val="nil"/>
          <w:left w:val="nil"/>
          <w:bottom w:val="nil"/>
          <w:right w:val="nil"/>
          <w:between w:val="nil"/>
        </w:pBdr>
      </w:pPr>
      <w:r>
        <w:rPr>
          <w:rFonts w:ascii="Google Sans" w:eastAsia="Google Sans" w:hAnsi="Google Sans" w:cs="Google Sans"/>
          <w:sz w:val="24"/>
          <w:szCs w:val="24"/>
        </w:rPr>
        <w:lastRenderedPageBreak/>
        <w:t xml:space="preserve"> </w:t>
      </w:r>
      <w:r w:rsidR="00000000" w:rsidRPr="000D3EB9">
        <w:rPr>
          <w:rFonts w:ascii="Google Sans" w:eastAsia="Google Sans" w:hAnsi="Google Sans" w:cs="Google Sans"/>
          <w:sz w:val="24"/>
          <w:szCs w:val="24"/>
        </w:rPr>
        <w:t xml:space="preserve">Health Overview - OECD.AI, accessed May 21, 2025, </w:t>
      </w:r>
      <w:hyperlink r:id="rId20">
        <w:r w:rsidR="00000000" w:rsidRPr="000D3EB9">
          <w:rPr>
            <w:rFonts w:ascii="Google Sans" w:eastAsia="Google Sans" w:hAnsi="Google Sans" w:cs="Google Sans"/>
            <w:color w:val="0000EE"/>
            <w:sz w:val="24"/>
            <w:szCs w:val="24"/>
            <w:u w:val="single"/>
          </w:rPr>
          <w:t>https://oecd.ai/en/site/health</w:t>
        </w:r>
      </w:hyperlink>
    </w:p>
    <w:p w14:paraId="1A70659E" w14:textId="102FF70A" w:rsidR="007E4BD6" w:rsidRDefault="000D3EB9" w:rsidP="000D3EB9">
      <w:pPr>
        <w:pStyle w:val="ListParagraph"/>
        <w:numPr>
          <w:ilvl w:val="0"/>
          <w:numId w:val="40"/>
        </w:numPr>
        <w:pBdr>
          <w:top w:val="nil"/>
          <w:left w:val="nil"/>
          <w:bottom w:val="nil"/>
          <w:right w:val="nil"/>
          <w:between w:val="nil"/>
        </w:pBdr>
      </w:pPr>
      <w:r>
        <w:rPr>
          <w:rFonts w:ascii="Google Sans" w:eastAsia="Google Sans" w:hAnsi="Google Sans" w:cs="Google Sans"/>
          <w:sz w:val="24"/>
          <w:szCs w:val="24"/>
        </w:rPr>
        <w:t xml:space="preserve"> </w:t>
      </w:r>
      <w:r w:rsidR="00000000" w:rsidRPr="000D3EB9">
        <w:rPr>
          <w:rFonts w:ascii="Google Sans" w:eastAsia="Google Sans" w:hAnsi="Google Sans" w:cs="Google Sans"/>
          <w:sz w:val="24"/>
          <w:szCs w:val="24"/>
        </w:rPr>
        <w:t xml:space="preserve">Artificial intelligence - OECD, accessed May 21, 2025, </w:t>
      </w:r>
      <w:hyperlink r:id="rId21">
        <w:r w:rsidR="00000000" w:rsidRPr="000D3EB9">
          <w:rPr>
            <w:rFonts w:ascii="Google Sans" w:eastAsia="Google Sans" w:hAnsi="Google Sans" w:cs="Google Sans"/>
            <w:color w:val="0000EE"/>
            <w:sz w:val="24"/>
            <w:szCs w:val="24"/>
            <w:u w:val="single"/>
          </w:rPr>
          <w:t>https://www.oecd.org/en/topics/artificial-intelligence.html</w:t>
        </w:r>
      </w:hyperlink>
    </w:p>
    <w:sectPr w:rsidR="007E4BD6">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Google Sans">
    <w:charset w:val="00"/>
    <w:family w:val="auto"/>
    <w:pitch w:val="default"/>
    <w:embedRegular r:id="rId1" w:fontKey="{6AE0F951-ADDE-4AC0-A580-525DAA518254}"/>
    <w:embedBold r:id="rId2" w:fontKey="{CAD25306-A662-402B-B852-2CC4FDB3C91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FA08C255-EC7A-48C5-8450-969A82A95E99}"/>
    <w:embedItalic r:id="rId4" w:fontKey="{846FFAC1-3566-4AAA-B361-AB239C4E9046}"/>
  </w:font>
  <w:font w:name="Google Sans Text">
    <w:charset w:val="00"/>
    <w:family w:val="auto"/>
    <w:pitch w:val="default"/>
    <w:embedRegular r:id="rId5" w:fontKey="{73299740-E8C4-4B85-B563-2FA026F33CBD}"/>
    <w:embedBold r:id="rId6" w:fontKey="{F353FD62-8E62-4D1F-9674-DDA8AF4B8410}"/>
  </w:font>
  <w:font w:name="Calibri">
    <w:panose1 w:val="020F0502020204030204"/>
    <w:charset w:val="00"/>
    <w:family w:val="swiss"/>
    <w:pitch w:val="variable"/>
    <w:sig w:usb0="E4002EFF" w:usb1="C200247B" w:usb2="00000009" w:usb3="00000000" w:csb0="000001FF" w:csb1="00000000"/>
    <w:embedRegular r:id="rId7" w:fontKey="{DE4C9934-0DC3-49AA-AC36-ED8F90A03D7C}"/>
  </w:font>
  <w:font w:name="Cambria">
    <w:panose1 w:val="02040503050406030204"/>
    <w:charset w:val="00"/>
    <w:family w:val="roman"/>
    <w:pitch w:val="variable"/>
    <w:sig w:usb0="E00006FF" w:usb1="420024FF" w:usb2="02000000" w:usb3="00000000" w:csb0="0000019F" w:csb1="00000000"/>
    <w:embedRegular r:id="rId8" w:fontKey="{7993E179-AD57-4C56-92CA-BF03864B52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D7BA4"/>
    <w:multiLevelType w:val="multilevel"/>
    <w:tmpl w:val="0D5A8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3144930"/>
    <w:multiLevelType w:val="multilevel"/>
    <w:tmpl w:val="196248B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5274A1E"/>
    <w:multiLevelType w:val="multilevel"/>
    <w:tmpl w:val="3134202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7DA5482"/>
    <w:multiLevelType w:val="multilevel"/>
    <w:tmpl w:val="AD04E79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ADF4831"/>
    <w:multiLevelType w:val="multilevel"/>
    <w:tmpl w:val="6B8C33A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0D0D657A"/>
    <w:multiLevelType w:val="multilevel"/>
    <w:tmpl w:val="958A3C4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12031A2"/>
    <w:multiLevelType w:val="multilevel"/>
    <w:tmpl w:val="9FE0FB1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3A560E1"/>
    <w:multiLevelType w:val="multilevel"/>
    <w:tmpl w:val="EA80F09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179F61CE"/>
    <w:multiLevelType w:val="multilevel"/>
    <w:tmpl w:val="E4E8244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17D035CE"/>
    <w:multiLevelType w:val="multilevel"/>
    <w:tmpl w:val="C0CE220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1AF67A6B"/>
    <w:multiLevelType w:val="multilevel"/>
    <w:tmpl w:val="81200B0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1AF71A55"/>
    <w:multiLevelType w:val="multilevel"/>
    <w:tmpl w:val="C226DF8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20B2054C"/>
    <w:multiLevelType w:val="multilevel"/>
    <w:tmpl w:val="C5A613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2417354F"/>
    <w:multiLevelType w:val="multilevel"/>
    <w:tmpl w:val="8C2E63D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2A7A32F2"/>
    <w:multiLevelType w:val="multilevel"/>
    <w:tmpl w:val="6E64547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2C3B0504"/>
    <w:multiLevelType w:val="multilevel"/>
    <w:tmpl w:val="17C895F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336E32F8"/>
    <w:multiLevelType w:val="multilevel"/>
    <w:tmpl w:val="0DF0EC1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398159FF"/>
    <w:multiLevelType w:val="multilevel"/>
    <w:tmpl w:val="BAE6B0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39DB52AA"/>
    <w:multiLevelType w:val="multilevel"/>
    <w:tmpl w:val="026AD3D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3C4445F7"/>
    <w:multiLevelType w:val="multilevel"/>
    <w:tmpl w:val="A18CEF7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404E35FD"/>
    <w:multiLevelType w:val="multilevel"/>
    <w:tmpl w:val="B11044C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41DA0199"/>
    <w:multiLevelType w:val="multilevel"/>
    <w:tmpl w:val="D9C2A7E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42811846"/>
    <w:multiLevelType w:val="multilevel"/>
    <w:tmpl w:val="B83C606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43985EAC"/>
    <w:multiLevelType w:val="multilevel"/>
    <w:tmpl w:val="484015A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4A5A14FA"/>
    <w:multiLevelType w:val="multilevel"/>
    <w:tmpl w:val="FB5697A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4B943FCE"/>
    <w:multiLevelType w:val="multilevel"/>
    <w:tmpl w:val="F16EB5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5567188A"/>
    <w:multiLevelType w:val="multilevel"/>
    <w:tmpl w:val="26560F3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55B36BA0"/>
    <w:multiLevelType w:val="multilevel"/>
    <w:tmpl w:val="5A3C0A8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568B4938"/>
    <w:multiLevelType w:val="multilevel"/>
    <w:tmpl w:val="6DF83D2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58A92568"/>
    <w:multiLevelType w:val="multilevel"/>
    <w:tmpl w:val="7D2C9EC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5B7E31DE"/>
    <w:multiLevelType w:val="multilevel"/>
    <w:tmpl w:val="B5B4725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5D6B1DF6"/>
    <w:multiLevelType w:val="multilevel"/>
    <w:tmpl w:val="541AC70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2" w15:restartNumberingAfterBreak="0">
    <w:nsid w:val="5E6B7BBC"/>
    <w:multiLevelType w:val="multilevel"/>
    <w:tmpl w:val="7590A2F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3" w15:restartNumberingAfterBreak="0">
    <w:nsid w:val="5E6D35EE"/>
    <w:multiLevelType w:val="multilevel"/>
    <w:tmpl w:val="5150CAD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4" w15:restartNumberingAfterBreak="0">
    <w:nsid w:val="5EEC5211"/>
    <w:multiLevelType w:val="multilevel"/>
    <w:tmpl w:val="59CA185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5" w15:restartNumberingAfterBreak="0">
    <w:nsid w:val="64C0706E"/>
    <w:multiLevelType w:val="multilevel"/>
    <w:tmpl w:val="EB4EC78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6" w15:restartNumberingAfterBreak="0">
    <w:nsid w:val="67784163"/>
    <w:multiLevelType w:val="hybridMultilevel"/>
    <w:tmpl w:val="E7009422"/>
    <w:lvl w:ilvl="0" w:tplc="3B1CF8AE">
      <w:start w:val="108"/>
      <w:numFmt w:val="decimal"/>
      <w:lvlText w:val="%1"/>
      <w:lvlJc w:val="left"/>
      <w:pPr>
        <w:ind w:left="636" w:hanging="396"/>
      </w:pPr>
      <w:rPr>
        <w:rFonts w:ascii="Google Sans" w:eastAsia="Google Sans" w:hAnsi="Google Sans" w:cs="Google Sans" w:hint="default"/>
        <w:sz w:val="24"/>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7" w15:restartNumberingAfterBreak="0">
    <w:nsid w:val="6A0467F6"/>
    <w:multiLevelType w:val="multilevel"/>
    <w:tmpl w:val="4D3447B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8" w15:restartNumberingAfterBreak="0">
    <w:nsid w:val="6B1C6060"/>
    <w:multiLevelType w:val="multilevel"/>
    <w:tmpl w:val="17021B2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9" w15:restartNumberingAfterBreak="0">
    <w:nsid w:val="6CA95B36"/>
    <w:multiLevelType w:val="multilevel"/>
    <w:tmpl w:val="EA8453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550969929">
    <w:abstractNumId w:val="12"/>
  </w:num>
  <w:num w:numId="2" w16cid:durableId="282810103">
    <w:abstractNumId w:val="34"/>
  </w:num>
  <w:num w:numId="3" w16cid:durableId="1434865051">
    <w:abstractNumId w:val="22"/>
  </w:num>
  <w:num w:numId="4" w16cid:durableId="1647511561">
    <w:abstractNumId w:val="19"/>
  </w:num>
  <w:num w:numId="5" w16cid:durableId="435949811">
    <w:abstractNumId w:val="37"/>
  </w:num>
  <w:num w:numId="6" w16cid:durableId="1471359551">
    <w:abstractNumId w:val="32"/>
  </w:num>
  <w:num w:numId="7" w16cid:durableId="1671135005">
    <w:abstractNumId w:val="16"/>
  </w:num>
  <w:num w:numId="8" w16cid:durableId="1613130623">
    <w:abstractNumId w:val="6"/>
  </w:num>
  <w:num w:numId="9" w16cid:durableId="255596441">
    <w:abstractNumId w:val="10"/>
  </w:num>
  <w:num w:numId="10" w16cid:durableId="571281724">
    <w:abstractNumId w:val="27"/>
  </w:num>
  <w:num w:numId="11" w16cid:durableId="1040937414">
    <w:abstractNumId w:val="2"/>
  </w:num>
  <w:num w:numId="12" w16cid:durableId="427120487">
    <w:abstractNumId w:val="8"/>
  </w:num>
  <w:num w:numId="13" w16cid:durableId="2012180053">
    <w:abstractNumId w:val="17"/>
  </w:num>
  <w:num w:numId="14" w16cid:durableId="448669749">
    <w:abstractNumId w:val="39"/>
  </w:num>
  <w:num w:numId="15" w16cid:durableId="410196443">
    <w:abstractNumId w:val="9"/>
  </w:num>
  <w:num w:numId="16" w16cid:durableId="1718314656">
    <w:abstractNumId w:val="38"/>
  </w:num>
  <w:num w:numId="17" w16cid:durableId="1313561897">
    <w:abstractNumId w:val="29"/>
  </w:num>
  <w:num w:numId="18" w16cid:durableId="2015525453">
    <w:abstractNumId w:val="25"/>
  </w:num>
  <w:num w:numId="19" w16cid:durableId="2033334088">
    <w:abstractNumId w:val="14"/>
  </w:num>
  <w:num w:numId="20" w16cid:durableId="406390448">
    <w:abstractNumId w:val="18"/>
  </w:num>
  <w:num w:numId="21" w16cid:durableId="1717856058">
    <w:abstractNumId w:val="20"/>
  </w:num>
  <w:num w:numId="22" w16cid:durableId="1334142703">
    <w:abstractNumId w:val="15"/>
  </w:num>
  <w:num w:numId="23" w16cid:durableId="1356923168">
    <w:abstractNumId w:val="1"/>
  </w:num>
  <w:num w:numId="24" w16cid:durableId="514660341">
    <w:abstractNumId w:val="35"/>
  </w:num>
  <w:num w:numId="25" w16cid:durableId="448663311">
    <w:abstractNumId w:val="31"/>
  </w:num>
  <w:num w:numId="26" w16cid:durableId="1765374245">
    <w:abstractNumId w:val="24"/>
  </w:num>
  <w:num w:numId="27" w16cid:durableId="1904560856">
    <w:abstractNumId w:val="4"/>
  </w:num>
  <w:num w:numId="28" w16cid:durableId="1950353050">
    <w:abstractNumId w:val="13"/>
  </w:num>
  <w:num w:numId="29" w16cid:durableId="118572549">
    <w:abstractNumId w:val="5"/>
  </w:num>
  <w:num w:numId="30" w16cid:durableId="838235256">
    <w:abstractNumId w:val="3"/>
  </w:num>
  <w:num w:numId="31" w16cid:durableId="777483533">
    <w:abstractNumId w:val="26"/>
  </w:num>
  <w:num w:numId="32" w16cid:durableId="1985347947">
    <w:abstractNumId w:val="21"/>
  </w:num>
  <w:num w:numId="33" w16cid:durableId="154037130">
    <w:abstractNumId w:val="0"/>
  </w:num>
  <w:num w:numId="34" w16cid:durableId="654725180">
    <w:abstractNumId w:val="11"/>
  </w:num>
  <w:num w:numId="35" w16cid:durableId="444153224">
    <w:abstractNumId w:val="30"/>
  </w:num>
  <w:num w:numId="36" w16cid:durableId="1570925518">
    <w:abstractNumId w:val="23"/>
  </w:num>
  <w:num w:numId="37" w16cid:durableId="254169229">
    <w:abstractNumId w:val="7"/>
  </w:num>
  <w:num w:numId="38" w16cid:durableId="2023044663">
    <w:abstractNumId w:val="33"/>
  </w:num>
  <w:num w:numId="39" w16cid:durableId="1105230761">
    <w:abstractNumId w:val="28"/>
  </w:num>
  <w:num w:numId="40" w16cid:durableId="168535459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BD6"/>
    <w:rsid w:val="000468EA"/>
    <w:rsid w:val="000D3EB9"/>
    <w:rsid w:val="007E4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F6B30"/>
  <w15:docId w15:val="{BE2236FB-A6F0-45ED-A4AC-26B128399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D3E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da.gov/medical-devices/in-vitro-diagnostics/precision-medicine" TargetMode="External"/><Relationship Id="rId13" Type="http://schemas.openxmlformats.org/officeDocument/2006/relationships/hyperlink" Target="https://www.mphonline.org/preventative-care-guide/" TargetMode="External"/><Relationship Id="rId18" Type="http://schemas.openxmlformats.org/officeDocument/2006/relationships/hyperlink" Target="https://www.congress.gov/crs-product/R48319" TargetMode="External"/><Relationship Id="rId3" Type="http://schemas.openxmlformats.org/officeDocument/2006/relationships/settings" Target="settings.xml"/><Relationship Id="rId21" Type="http://schemas.openxmlformats.org/officeDocument/2006/relationships/hyperlink" Target="https://www.oecd.org/en/topics/artificial-intelligence.html" TargetMode="External"/><Relationship Id="rId7" Type="http://schemas.openxmlformats.org/officeDocument/2006/relationships/hyperlink" Target="https://www.brookings.edu/articles/risks-and-remedies-for-artificial-intelligence-in-health-care/" TargetMode="External"/><Relationship Id="rId12" Type="http://schemas.openxmlformats.org/officeDocument/2006/relationships/hyperlink" Target="https://en.wikipedia.org/wiki/Preventive_healthcare" TargetMode="External"/><Relationship Id="rId17" Type="http://schemas.openxmlformats.org/officeDocument/2006/relationships/hyperlink" Target="https://www.ibm.com/think/topics/artificial-intelligence-medicine" TargetMode="External"/><Relationship Id="rId2" Type="http://schemas.openxmlformats.org/officeDocument/2006/relationships/styles" Target="styles.xml"/><Relationship Id="rId16" Type="http://schemas.openxmlformats.org/officeDocument/2006/relationships/hyperlink" Target="https://cloudxlab.com/blog/data-to-diagnosis-how-ai-is-transforming-healthcare/" TargetMode="External"/><Relationship Id="rId20" Type="http://schemas.openxmlformats.org/officeDocument/2006/relationships/hyperlink" Target="https://oecd.ai/en/site/health" TargetMode="External"/><Relationship Id="rId1" Type="http://schemas.openxmlformats.org/officeDocument/2006/relationships/numbering" Target="numbering.xml"/><Relationship Id="rId6" Type="http://schemas.openxmlformats.org/officeDocument/2006/relationships/hyperlink" Target="https://www.jetir.org/papers/JETIR2501395.pdf" TargetMode="External"/><Relationship Id="rId11" Type="http://schemas.openxmlformats.org/officeDocument/2006/relationships/hyperlink" Target="https://en.wikipedia.org/wiki/Preventive_healthcare" TargetMode="External"/><Relationship Id="rId5" Type="http://schemas.openxmlformats.org/officeDocument/2006/relationships/hyperlink" Target="https://www.mghihp.edu/news-and-more/opinions/data-analytics/big-data-healthcare-opportunities-and-challenges" TargetMode="External"/><Relationship Id="rId15" Type="http://schemas.openxmlformats.org/officeDocument/2006/relationships/hyperlink" Target="https://www.who.int/health-topics/primary-health-care" TargetMode="External"/><Relationship Id="rId23" Type="http://schemas.openxmlformats.org/officeDocument/2006/relationships/theme" Target="theme/theme1.xml"/><Relationship Id="rId10" Type="http://schemas.openxmlformats.org/officeDocument/2006/relationships/hyperlink" Target="https://www.nih.gov/about-nih/what-we-do/nih-turning-discovery-into-health/personalized-medicine" TargetMode="External"/><Relationship Id="rId19" Type="http://schemas.openxmlformats.org/officeDocument/2006/relationships/hyperlink" Target="https://www.mghihp.edu/news-and-more/opinions/data-analytics/big-data-healthcare-opportunities-and-challenges" TargetMode="External"/><Relationship Id="rId4" Type="http://schemas.openxmlformats.org/officeDocument/2006/relationships/webSettings" Target="webSettings.xml"/><Relationship Id="rId9" Type="http://schemas.openxmlformats.org/officeDocument/2006/relationships/hyperlink" Target="https://www.fda.gov/medical-devices/in-vitro-diagnostics/precision-medicine" TargetMode="External"/><Relationship Id="rId14" Type="http://schemas.openxmlformats.org/officeDocument/2006/relationships/hyperlink" Target="https://my.clevelandclinic.org/health/articles/prophylaxis-preventive-car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2847</Words>
  <Characters>16230</Characters>
  <Application>Microsoft Office Word</Application>
  <DocSecurity>0</DocSecurity>
  <Lines>135</Lines>
  <Paragraphs>38</Paragraphs>
  <ScaleCrop>false</ScaleCrop>
  <Company/>
  <LinksUpToDate>false</LinksUpToDate>
  <CharactersWithSpaces>19039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Yogesh Parmar</cp:lastModifiedBy>
  <cp:revision>2</cp:revision>
  <dcterms:created xsi:type="dcterms:W3CDTF">2025-05-24T19:46:00Z</dcterms:created>
  <dcterms:modified xsi:type="dcterms:W3CDTF">2025-05-24T19:46:00Z</dcterms:modified>
</cp:coreProperties>
</file>